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B" w:rsidRPr="0011421B" w:rsidRDefault="0011421B" w:rsidP="0011421B">
      <w:pPr>
        <w:autoSpaceDE w:val="0"/>
        <w:rPr>
          <w:rFonts w:ascii="Century Gothic" w:hAnsi="Century Gothic"/>
          <w:b/>
          <w:bCs/>
          <w:i/>
          <w:color w:val="FF0000"/>
          <w:sz w:val="18"/>
          <w:szCs w:val="18"/>
          <w:lang w:val="en-US"/>
        </w:rPr>
      </w:pPr>
      <w:r w:rsidRPr="0011421B">
        <w:rPr>
          <w:rFonts w:ascii="Century Gothic" w:hAnsi="Century Gothic"/>
          <w:sz w:val="4"/>
          <w:szCs w:val="4"/>
          <w:lang w:val="en-US"/>
        </w:rPr>
        <w:br/>
      </w:r>
      <w:r w:rsidRPr="0011421B">
        <w:rPr>
          <w:rFonts w:ascii="Century Gothic" w:hAnsi="Century Gothic"/>
          <w:sz w:val="4"/>
          <w:szCs w:val="4"/>
          <w:lang w:val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1421B">
        <w:rPr>
          <w:rFonts w:ascii="Century Gothic" w:hAnsi="Century Gothic"/>
          <w:sz w:val="4"/>
          <w:szCs w:val="4"/>
          <w:lang w:val="en-US"/>
        </w:rPr>
        <w:br/>
      </w:r>
      <w:r w:rsidRPr="0011421B">
        <w:rPr>
          <w:rFonts w:ascii="Century Gothic" w:hAnsi="Century Gothic"/>
          <w:sz w:val="4"/>
          <w:szCs w:val="4"/>
          <w:lang w:val="en-US"/>
        </w:rPr>
        <w:br/>
      </w:r>
      <w:r w:rsidRPr="0011421B">
        <w:rPr>
          <w:rFonts w:ascii="Century Gothic" w:hAnsi="Century Gothic"/>
          <w:sz w:val="48"/>
          <w:szCs w:val="48"/>
          <w:lang w:val="en-US"/>
        </w:rPr>
        <w:t xml:space="preserve">    </w:t>
      </w:r>
      <w:r w:rsidRPr="0011421B">
        <w:rPr>
          <w:rFonts w:ascii="Century Gothic" w:hAnsi="Century Gothic"/>
          <w:b/>
          <w:color w:val="006600"/>
          <w:sz w:val="48"/>
          <w:szCs w:val="48"/>
          <w:lang w:val="en-US"/>
        </w:rPr>
        <w:t>SUNRISE TOUR &amp; LIDO DI JESOLO</w:t>
      </w:r>
      <w:r w:rsidRPr="0011421B">
        <w:rPr>
          <w:rFonts w:ascii="Century Gothic" w:hAnsi="Century Gothic"/>
          <w:b/>
          <w:color w:val="006600"/>
          <w:sz w:val="24"/>
          <w:szCs w:val="24"/>
          <w:lang w:val="en-US"/>
        </w:rPr>
        <w:br/>
      </w:r>
      <w:r w:rsidRPr="0011421B">
        <w:rPr>
          <w:rFonts w:ascii="Century Gothic" w:hAnsi="Century Gothic"/>
          <w:b/>
          <w:color w:val="FF0000"/>
          <w:sz w:val="24"/>
          <w:szCs w:val="24"/>
          <w:lang w:val="en-US"/>
        </w:rPr>
        <w:t xml:space="preserve">                                                </w:t>
      </w:r>
      <w:r>
        <w:rPr>
          <w:rFonts w:ascii="Century Gothic" w:hAnsi="Century Gothic"/>
          <w:b/>
          <w:color w:val="FF0000"/>
          <w:sz w:val="24"/>
          <w:szCs w:val="24"/>
          <w:lang w:val="en-US"/>
        </w:rPr>
        <w:br/>
        <w:t xml:space="preserve">                                              </w:t>
      </w:r>
      <w:r w:rsidRPr="0011421B">
        <w:rPr>
          <w:rFonts w:ascii="Century Gothic" w:hAnsi="Century Gothic"/>
          <w:b/>
          <w:bCs/>
          <w:iCs/>
          <w:color w:val="FF0000"/>
          <w:sz w:val="24"/>
          <w:szCs w:val="24"/>
          <w:lang w:val="ru-RU"/>
        </w:rPr>
        <w:t>РИМИНИ</w:t>
      </w:r>
      <w:r w:rsidRPr="0011421B">
        <w:rPr>
          <w:rFonts w:ascii="Century Gothic" w:hAnsi="Century Gothic"/>
          <w:b/>
          <w:bCs/>
          <w:iCs/>
          <w:color w:val="FF0000"/>
          <w:sz w:val="24"/>
          <w:szCs w:val="24"/>
          <w:lang w:val="en-US"/>
        </w:rPr>
        <w:t xml:space="preserve"> – </w:t>
      </w:r>
      <w:r w:rsidRPr="0011421B">
        <w:rPr>
          <w:rFonts w:ascii="Century Gothic" w:hAnsi="Century Gothic"/>
          <w:b/>
          <w:bCs/>
          <w:iCs/>
          <w:color w:val="FF0000"/>
          <w:sz w:val="24"/>
          <w:szCs w:val="24"/>
          <w:lang w:val="ru-RU"/>
        </w:rPr>
        <w:t>РИМИНИ</w:t>
      </w:r>
      <w:r w:rsidRPr="0011421B">
        <w:rPr>
          <w:rFonts w:ascii="Century Gothic" w:hAnsi="Century Gothic"/>
          <w:b/>
          <w:color w:val="FF0000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11421B">
        <w:rPr>
          <w:rFonts w:ascii="Century Gothic" w:hAnsi="Century Gothic"/>
          <w:b/>
          <w:bCs/>
          <w:iCs/>
          <w:color w:val="FF0000"/>
          <w:sz w:val="24"/>
          <w:szCs w:val="24"/>
          <w:lang w:val="en-US"/>
        </w:rPr>
        <w:t xml:space="preserve">                 </w:t>
      </w:r>
    </w:p>
    <w:p w:rsidR="0011421B" w:rsidRPr="0011421B" w:rsidRDefault="0011421B" w:rsidP="0011421B">
      <w:pPr>
        <w:pStyle w:val="1"/>
        <w:numPr>
          <w:ilvl w:val="0"/>
          <w:numId w:val="0"/>
        </w:numPr>
        <w:ind w:left="432" w:hanging="432"/>
        <w:jc w:val="left"/>
        <w:rPr>
          <w:rFonts w:ascii="Century Gothic" w:hAnsi="Century Gothic"/>
          <w:bCs/>
          <w:iCs w:val="0"/>
          <w:sz w:val="18"/>
          <w:szCs w:val="18"/>
          <w:lang w:val="en-US"/>
        </w:rPr>
      </w:pPr>
    </w:p>
    <w:p w:rsidR="0011421B" w:rsidRPr="0011421B" w:rsidRDefault="0011421B" w:rsidP="0011421B">
      <w:pPr>
        <w:pStyle w:val="a3"/>
        <w:ind w:left="-567" w:right="-569"/>
        <w:jc w:val="left"/>
        <w:rPr>
          <w:rFonts w:ascii="Century Gothic" w:hAnsi="Century Gothic"/>
          <w:i w:val="0"/>
          <w:iCs/>
          <w:color w:val="006699"/>
          <w:sz w:val="18"/>
          <w:szCs w:val="18"/>
          <w:u w:val="single"/>
          <w:lang w:val="ru-RU" w:eastAsia="it-IT" w:bidi="ar-SA"/>
        </w:rPr>
      </w:pPr>
      <w:r w:rsidRPr="0011421B">
        <w:rPr>
          <w:rFonts w:ascii="Century Gothic" w:hAnsi="Century Gothic"/>
          <w:i w:val="0"/>
          <w:iCs/>
          <w:color w:val="006600"/>
          <w:sz w:val="18"/>
          <w:szCs w:val="18"/>
          <w:u w:val="single"/>
          <w:lang w:val="ru-RU" w:eastAsia="it-IT" w:bidi="ar-SA"/>
        </w:rPr>
        <w:t>Римини/ Рим/ Неаполь/ Помпеи/ Флоренция/ Монтекатини/ Пиза/ Сиена/ Венеция/ Сан Марино/ Лидо ди Езоло</w:t>
      </w:r>
      <w:r w:rsidRPr="0011421B">
        <w:rPr>
          <w:rFonts w:ascii="Century Gothic" w:hAnsi="Century Gothic"/>
          <w:i w:val="0"/>
          <w:iCs/>
          <w:color w:val="006699"/>
          <w:sz w:val="18"/>
          <w:szCs w:val="18"/>
          <w:u w:val="single"/>
          <w:lang w:val="ru-RU" w:eastAsia="it-IT" w:bidi="ar-SA"/>
        </w:rPr>
        <w:br/>
      </w:r>
    </w:p>
    <w:tbl>
      <w:tblPr>
        <w:tblStyle w:val="a6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46"/>
        <w:gridCol w:w="9127"/>
      </w:tblGrid>
      <w:tr w:rsidR="0011421B" w:rsidRPr="0011421B" w:rsidTr="0011421B">
        <w:trPr>
          <w:trHeight w:val="303"/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1 день</w:t>
            </w:r>
          </w:p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(суббота) 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Прибытие в аэропорт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Римини.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  <w:t>Встреча с русскоговорящим сопровождающим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Трансфер и размещение в отеле в районе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Римини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или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Ровиго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Ужин. Ночь в отеле.</w:t>
            </w:r>
          </w:p>
        </w:tc>
      </w:tr>
      <w:tr w:rsidR="0011421B" w:rsidRPr="0011421B" w:rsidTr="0011421B">
        <w:trPr>
          <w:trHeight w:val="279"/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2 день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«Вечный город»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Размещение в отеле в 5-8 км от Фонтана Треви (за дополнительную плату возможно размещение в центре города). Обзорная экскурсия по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Риму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гидом. Ужин в ресторане. Для желающих экскурсия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«Ночной Рим»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Ночь в отеле.</w:t>
            </w:r>
          </w:p>
        </w:tc>
      </w:tr>
      <w:tr w:rsidR="0011421B" w:rsidRPr="0011421B" w:rsidTr="0011421B">
        <w:trPr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3 день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 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Экскурсия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музеи Ватикана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с русскоговорящим гидом. Свободное время. Для желающих экскурсия «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Римские Замки»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- характерные средневековые маленькие города, находящиеся на грациозных римских холмах - с русскоговорящим гидом (за дополнительную плату) или для желающих экскурсия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«Христианский Рим»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Ужин в ресторане или возможность поужинать в типичном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театре-ресторане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(за дополнительную плату). Ночь в отеле.</w:t>
            </w:r>
          </w:p>
        </w:tc>
        <w:bookmarkStart w:id="0" w:name="_GoBack"/>
        <w:bookmarkEnd w:id="0"/>
      </w:tr>
      <w:tr w:rsidR="0011421B" w:rsidRPr="0011421B" w:rsidTr="0011421B">
        <w:trPr>
          <w:trHeight w:val="330"/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4 день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 xml:space="preserve"> </w:t>
            </w:r>
          </w:p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) 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время. Для желающих экскурсия на целый день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Неаполь и Помпеи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Ужин в ресторане. Ночь в отеле.</w:t>
            </w:r>
          </w:p>
        </w:tc>
      </w:tr>
      <w:tr w:rsidR="0011421B" w:rsidRPr="0011421B" w:rsidTr="0011421B">
        <w:trPr>
          <w:trHeight w:val="518"/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5 день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во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Флоренцию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“Родину итальянского Ренессанса”. По пути остановка в районе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Кьянти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для дегустации вина и типичных продуктов. Для желающих экскурсия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Сиену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Обзорная экскурсия по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Флоренции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гидом. Трансфер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Монтекатини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(за дополнительную плату возможно размещение в центре Флоренции*). Ужин в ресторане. Ночь в отеле.</w:t>
            </w:r>
          </w:p>
        </w:tc>
      </w:tr>
      <w:tr w:rsidR="0011421B" w:rsidRPr="0011421B" w:rsidTr="0011421B">
        <w:trPr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6 день</w:t>
            </w:r>
          </w:p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US"/>
              </w:rPr>
              <w:t>)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Для желающих экскурсия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Пизу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сопровождающим (за дополнительную плату). Во второй половине дня возможна экскурсия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галерею Уффици или дворец Питти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(за дополнительную плату). Трансфер в район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Венеции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или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Болоньи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По пути возможна остановка в «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en-US"/>
              </w:rPr>
              <w:t>Barberino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en-US"/>
              </w:rPr>
              <w:t>Outlet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»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Размещение в отеле. Ужин. Ночь в отеле.</w:t>
            </w:r>
          </w:p>
        </w:tc>
      </w:tr>
      <w:tr w:rsidR="0011421B" w:rsidRPr="0011421B" w:rsidTr="0011421B">
        <w:trPr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7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день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Завтрак в отеле. Трансфер в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 Венецию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– «Город на воде». Обзорная экскурсия по городу с русскоговорящим гидом. Свободное время. Для желающих экскурсия во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дворец Дожей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 (входные билеты оплачиваются дополнительно) или прогулка на катере по Лагуне или катание на гондоле по каналам Венеции (все экскурсии за дополнительную плату). Трансфер и размещение в отеле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Лидо ди Езоло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. Ужин. Ночь в отеле.</w:t>
            </w:r>
          </w:p>
        </w:tc>
      </w:tr>
      <w:tr w:rsidR="0011421B" w:rsidRPr="0011421B" w:rsidTr="0011421B">
        <w:trPr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>8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 xml:space="preserve">-13 день </w:t>
            </w:r>
          </w:p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(суббота-четверг)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Отдых в Лидо ди Езоло.</w:t>
            </w:r>
          </w:p>
        </w:tc>
      </w:tr>
      <w:tr w:rsidR="0011421B" w:rsidRPr="0011421B" w:rsidTr="0011421B">
        <w:trPr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14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</w:rPr>
              <w:t xml:space="preserve"> </w:t>
            </w: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день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 (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время. Трансфер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Римини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. Размещение в отеле в районе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Римини.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Ужин. Ночь в отеле.</w:t>
            </w:r>
          </w:p>
        </w:tc>
      </w:tr>
      <w:tr w:rsidR="0011421B" w:rsidRPr="0011421B" w:rsidTr="0011421B">
        <w:trPr>
          <w:tblCellSpacing w:w="20" w:type="dxa"/>
        </w:trPr>
        <w:tc>
          <w:tcPr>
            <w:tcW w:w="1289" w:type="dxa"/>
            <w:shd w:val="clear" w:color="auto" w:fill="006699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i/>
                <w:color w:val="FFFFFF"/>
                <w:sz w:val="18"/>
                <w:szCs w:val="18"/>
                <w:lang w:val="ru-RU"/>
              </w:rPr>
              <w:t>15 день</w:t>
            </w: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 xml:space="preserve"> </w:t>
            </w:r>
          </w:p>
          <w:p w:rsidR="0011421B" w:rsidRPr="0011421B" w:rsidRDefault="0011421B" w:rsidP="00DC05A6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b/>
                <w:color w:val="FFFFFF"/>
                <w:sz w:val="18"/>
                <w:szCs w:val="18"/>
                <w:lang w:val="ru-RU"/>
              </w:rPr>
              <w:t>(суббота)</w:t>
            </w:r>
          </w:p>
        </w:tc>
        <w:tc>
          <w:tcPr>
            <w:tcW w:w="9364" w:type="dxa"/>
            <w:shd w:val="clear" w:color="auto" w:fill="FFFFFF"/>
            <w:vAlign w:val="center"/>
          </w:tcPr>
          <w:p w:rsidR="0011421B" w:rsidRPr="0011421B" w:rsidRDefault="0011421B" w:rsidP="00DC05A6">
            <w:pPr>
              <w:autoSpaceDE w:val="0"/>
              <w:ind w:right="71"/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Завтрак в отеле. Трансфер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Сан Марино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и посещение древней республики, расположенной на знаменитой горе Rocca, с русскоговорящим сопровождающим (в зависимости от времени прилета и вылета посещение Сан Марино может быть организовано в первый или в последний день). Трансфер в аэропорт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Римини.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Завершение обслуживания.</w:t>
            </w:r>
          </w:p>
        </w:tc>
      </w:tr>
    </w:tbl>
    <w:p w:rsidR="0011421B" w:rsidRPr="0011421B" w:rsidRDefault="0011421B" w:rsidP="0011421B">
      <w:pPr>
        <w:pStyle w:val="a8"/>
        <w:jc w:val="center"/>
        <w:rPr>
          <w:rFonts w:ascii="Century Gothic" w:hAnsi="Century Gothic"/>
          <w:b/>
          <w:color w:val="FF0000"/>
          <w:sz w:val="18"/>
          <w:szCs w:val="18"/>
          <w:lang w:val="ru-RU"/>
        </w:rPr>
      </w:pPr>
      <w:r w:rsidRPr="0011421B">
        <w:rPr>
          <w:rFonts w:ascii="Century Gothic" w:hAnsi="Century Gothic"/>
          <w:sz w:val="18"/>
          <w:szCs w:val="18"/>
        </w:rPr>
        <w:br/>
      </w: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11421B" w:rsidRPr="0011421B" w:rsidTr="00DC05A6">
        <w:trPr>
          <w:trHeight w:val="162"/>
          <w:tblCellSpacing w:w="28" w:type="dxa"/>
          <w:jc w:val="center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en-US"/>
              </w:rPr>
            </w:pPr>
            <w:r w:rsidRPr="0011421B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en-US"/>
              </w:rPr>
            </w:pPr>
            <w:r w:rsidRPr="0011421B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11421B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-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Экскурсия во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дворец Дожей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с гидом</w:t>
            </w:r>
            <w:r w:rsidRPr="0011421B">
              <w:rPr>
                <w:rFonts w:ascii="Century Gothic" w:hAnsi="Century Gothic" w:cs="Arial"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(входные билеты не включены)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>14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Размещение в отелях 3*** на 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H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>/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en-GB"/>
              </w:rPr>
              <w:t>B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pStyle w:val="2"/>
              <w:tabs>
                <w:tab w:val="left" w:pos="1840"/>
              </w:tabs>
              <w:snapToGrid w:val="0"/>
              <w:rPr>
                <w:rFonts w:ascii="Century Gothic" w:hAnsi="Century Gothic" w:cs="Arial"/>
                <w:i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i/>
                <w:color w:val="006600"/>
                <w:sz w:val="18"/>
                <w:szCs w:val="18"/>
                <w:lang w:val="ru-RU"/>
              </w:rPr>
              <w:t xml:space="preserve">Входные билеты в </w:t>
            </w:r>
            <w:r w:rsidRPr="0011421B">
              <w:rPr>
                <w:rFonts w:ascii="Century Gothic" w:hAnsi="Century Gothic" w:cs="Arial"/>
                <w:b/>
                <w:i/>
                <w:color w:val="006600"/>
                <w:sz w:val="18"/>
                <w:szCs w:val="18"/>
                <w:lang w:val="ru-RU"/>
              </w:rPr>
              <w:t>музеи Ватикана</w:t>
            </w:r>
            <w:r w:rsidRPr="0011421B">
              <w:rPr>
                <w:rFonts w:ascii="Century Gothic" w:hAnsi="Century Gothic" w:cs="Arial"/>
                <w:i/>
                <w:color w:val="006600"/>
                <w:sz w:val="18"/>
                <w:szCs w:val="18"/>
                <w:lang w:val="ru-RU"/>
              </w:rPr>
              <w:t xml:space="preserve"> (включая бронь)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2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4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Официальные</w:t>
            </w:r>
            <w:r w:rsidRPr="0011421B">
              <w:rPr>
                <w:rFonts w:ascii="Century Gothic" w:hAnsi="Century Gothic"/>
                <w:bCs/>
                <w:color w:val="006600"/>
                <w:sz w:val="18"/>
                <w:szCs w:val="18"/>
              </w:rPr>
              <w:t xml:space="preserve"> </w:t>
            </w:r>
            <w:r w:rsidRPr="0011421B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русскоговорящие</w:t>
            </w:r>
            <w:r w:rsidRPr="0011421B">
              <w:rPr>
                <w:rFonts w:ascii="Century Gothic" w:hAnsi="Century Gothic"/>
                <w:bCs/>
                <w:color w:val="006600"/>
                <w:sz w:val="18"/>
                <w:szCs w:val="18"/>
              </w:rPr>
              <w:t xml:space="preserve"> </w:t>
            </w:r>
            <w:r w:rsidRPr="0011421B"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  <w:t>гиды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Экскурсия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«Ночной Рим»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2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5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1,5 часовая обзорная экскурсия по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Венеции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snapToGrid w:val="0"/>
              <w:jc w:val="both"/>
              <w:rPr>
                <w:rFonts w:ascii="Century Gothic" w:hAnsi="Century Gothic" w:cs="Arial"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Экскурсия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«Христианский Рим»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35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2х часовая обзорная экскурсия по </w:t>
            </w:r>
            <w:r w:rsidRPr="0011421B">
              <w:rPr>
                <w:rFonts w:ascii="Century Gothic" w:hAnsi="Century Gothic"/>
                <w:b/>
                <w:bCs/>
                <w:color w:val="006600"/>
                <w:sz w:val="18"/>
                <w:szCs w:val="18"/>
                <w:lang w:val="ru-RU"/>
              </w:rPr>
              <w:t>Флоренции</w:t>
            </w:r>
          </w:p>
        </w:tc>
        <w:tc>
          <w:tcPr>
            <w:tcW w:w="5813" w:type="dxa"/>
            <w:shd w:val="pct5" w:color="auto" w:fill="auto"/>
          </w:tcPr>
          <w:p w:rsidR="0011421B" w:rsidRPr="0011421B" w:rsidRDefault="0011421B" w:rsidP="00DC05A6">
            <w:pPr>
              <w:autoSpaceDE w:val="0"/>
              <w:snapToGrid w:val="0"/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Ужин в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театре-ресторане 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в Риме </w:t>
            </w: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(в стоимость включены минеральная вода и вино)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47,00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lastRenderedPageBreak/>
              <w:t xml:space="preserve">3х часовая обзорная экскурсия по </w:t>
            </w:r>
            <w:r w:rsidRPr="0011421B">
              <w:rPr>
                <w:rFonts w:ascii="Century Gothic" w:hAnsi="Century Gothic"/>
                <w:b/>
                <w:bCs/>
                <w:color w:val="006600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Экскурсия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«Римские Замки»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4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0,00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3х часовая экскурсия в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музеи Ватикана</w:t>
            </w:r>
          </w:p>
        </w:tc>
        <w:tc>
          <w:tcPr>
            <w:tcW w:w="5813" w:type="dxa"/>
            <w:shd w:val="pct5" w:color="auto" w:fill="auto"/>
          </w:tcPr>
          <w:p w:rsidR="0011421B" w:rsidRPr="0011421B" w:rsidRDefault="0011421B" w:rsidP="00DC05A6">
            <w:pPr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Экскурсия в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ru-RU"/>
              </w:rPr>
              <w:t>галерею Уффици</w:t>
            </w:r>
            <w:r w:rsidRPr="0011421B">
              <w:rPr>
                <w:rFonts w:ascii="Century Gothic" w:hAnsi="Century Gothic"/>
                <w:bCs/>
                <w:iCs/>
                <w:color w:val="006600"/>
                <w:sz w:val="18"/>
                <w:szCs w:val="18"/>
                <w:lang w:val="ru-RU"/>
              </w:rPr>
              <w:t xml:space="preserve"> или </w:t>
            </w:r>
            <w:r w:rsidRPr="0011421B">
              <w:rPr>
                <w:rFonts w:ascii="Century Gothic" w:hAnsi="Century Gothic"/>
                <w:b/>
                <w:bCs/>
                <w:iCs/>
                <w:color w:val="006600"/>
                <w:sz w:val="18"/>
                <w:szCs w:val="18"/>
                <w:lang w:val="ru-RU"/>
              </w:rPr>
              <w:t>дворец Питти</w:t>
            </w:r>
            <w:r w:rsidRPr="0011421B">
              <w:rPr>
                <w:rFonts w:ascii="Century Gothic" w:hAnsi="Century Gothic"/>
                <w:bCs/>
                <w:iCs/>
                <w:color w:val="006600"/>
                <w:sz w:val="18"/>
                <w:szCs w:val="18"/>
                <w:lang w:val="ru-RU"/>
              </w:rPr>
              <w:t xml:space="preserve"> с гидом (входные билеты)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</w:rPr>
              <w:t>30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Посещение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Сан Марино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с сопровождающим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 xml:space="preserve">Пизу </w:t>
            </w: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 xml:space="preserve">с русскоговорящим гидом 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30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Дегустация вина и типичных продуктов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</w:rPr>
              <w:t>K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атер по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 xml:space="preserve">«Каналу делла Джудекка» &amp; </w:t>
            </w:r>
            <w:r w:rsidRPr="0011421B">
              <w:rPr>
                <w:rFonts w:ascii="Century Gothic" w:hAnsi="Century Gothic"/>
                <w:b/>
                <w:color w:val="006600"/>
                <w:sz w:val="18"/>
                <w:szCs w:val="18"/>
                <w:lang w:val="ru-RU"/>
              </w:rPr>
              <w:t>«Гранд Каналу»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>с сопровождающим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</w:rPr>
              <w:t>30,00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</w:rPr>
              <w:t>K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 xml:space="preserve">атер по </w:t>
            </w:r>
            <w:r w:rsidRPr="0011421B">
              <w:rPr>
                <w:rFonts w:ascii="Century Gothic" w:hAnsi="Century Gothic" w:cs="Arial"/>
                <w:b/>
                <w:color w:val="006600"/>
                <w:sz w:val="18"/>
                <w:szCs w:val="18"/>
                <w:lang w:val="ru-RU"/>
              </w:rPr>
              <w:t>«Каналу делла Джудекка»</w:t>
            </w:r>
            <w:r w:rsidRPr="0011421B">
              <w:rPr>
                <w:rFonts w:ascii="Century Gothic" w:hAnsi="Century Gothic" w:cs="Arial"/>
                <w:color w:val="006600"/>
                <w:sz w:val="18"/>
                <w:szCs w:val="18"/>
                <w:lang w:val="ru-RU"/>
              </w:rPr>
              <w:t xml:space="preserve"> туда и обратно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</w:rPr>
              <w:t>20,00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11421B" w:rsidRPr="0011421B" w:rsidRDefault="0011421B" w:rsidP="00DC05A6">
            <w:pPr>
              <w:pStyle w:val="2"/>
              <w:tabs>
                <w:tab w:val="left" w:pos="1840"/>
              </w:tabs>
              <w:snapToGrid w:val="0"/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  <w:t xml:space="preserve">Прогулка на катере по </w:t>
            </w:r>
            <w:r w:rsidRPr="0011421B">
              <w:rPr>
                <w:rFonts w:ascii="Century Gothic" w:hAnsi="Century Gothic"/>
                <w:b/>
                <w:i/>
                <w:iCs/>
                <w:color w:val="006600"/>
                <w:sz w:val="18"/>
                <w:szCs w:val="18"/>
                <w:lang w:val="ru-RU"/>
              </w:rPr>
              <w:t>Лагуне</w:t>
            </w:r>
            <w:r w:rsidRPr="0011421B"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  <w:t xml:space="preserve"> в Венеции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eastAsia="he-IL" w:bidi="he-IL"/>
              </w:rPr>
              <w:t>25,00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11421B" w:rsidRPr="0011421B" w:rsidRDefault="0011421B" w:rsidP="00DC05A6">
            <w:pPr>
              <w:pStyle w:val="2"/>
              <w:tabs>
                <w:tab w:val="left" w:pos="1840"/>
              </w:tabs>
              <w:snapToGrid w:val="0"/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  <w:t xml:space="preserve">Прогулка на </w:t>
            </w:r>
            <w:r w:rsidRPr="0011421B">
              <w:rPr>
                <w:rFonts w:ascii="Century Gothic" w:hAnsi="Century Gothic"/>
                <w:b/>
                <w:i/>
                <w:iCs/>
                <w:color w:val="006600"/>
                <w:sz w:val="18"/>
                <w:szCs w:val="18"/>
                <w:lang w:val="ru-RU"/>
              </w:rPr>
              <w:t>гондоле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eastAsia="he-IL" w:bidi="he-IL"/>
              </w:rPr>
              <w:t>20,00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5813" w:type="dxa"/>
            <w:shd w:val="pct5" w:color="auto" w:fill="auto"/>
          </w:tcPr>
          <w:p w:rsidR="0011421B" w:rsidRPr="0011421B" w:rsidRDefault="0011421B" w:rsidP="00DC05A6">
            <w:pPr>
              <w:pStyle w:val="2"/>
              <w:tabs>
                <w:tab w:val="left" w:pos="1840"/>
              </w:tabs>
              <w:snapToGrid w:val="0"/>
              <w:rPr>
                <w:rFonts w:ascii="Century Gothic" w:hAnsi="Century Gothic"/>
                <w:bCs/>
                <w:i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bCs/>
                <w:i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11421B">
              <w:rPr>
                <w:rFonts w:ascii="Century Gothic" w:hAnsi="Century Gothic"/>
                <w:b/>
                <w:bCs/>
                <w:i/>
                <w:iCs/>
                <w:color w:val="006600"/>
                <w:sz w:val="18"/>
                <w:szCs w:val="18"/>
                <w:lang w:val="ru-RU"/>
              </w:rPr>
              <w:t>Неаполь и Помпеи</w:t>
            </w:r>
            <w:r w:rsidRPr="0011421B">
              <w:rPr>
                <w:rFonts w:ascii="Century Gothic" w:hAnsi="Century Gothic"/>
                <w:bCs/>
                <w:i/>
                <w:iCs/>
                <w:color w:val="006600"/>
                <w:sz w:val="18"/>
                <w:szCs w:val="18"/>
                <w:lang w:val="ru-RU"/>
              </w:rPr>
              <w:t xml:space="preserve">  </w:t>
            </w:r>
            <w:r w:rsidRPr="0011421B">
              <w:rPr>
                <w:rFonts w:ascii="Century Gothic" w:hAnsi="Century Gothic"/>
                <w:i/>
                <w:iCs/>
                <w:color w:val="006600"/>
                <w:sz w:val="18"/>
                <w:szCs w:val="18"/>
                <w:lang w:val="ru-RU"/>
              </w:rPr>
              <w:t>с русскоговорящим гидом</w:t>
            </w: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 xml:space="preserve"> </w:t>
            </w:r>
            <w:r w:rsidRPr="0011421B">
              <w:rPr>
                <w:rFonts w:ascii="Century Gothic" w:hAnsi="Century Gothic"/>
                <w:bCs/>
                <w:i/>
                <w:iCs/>
                <w:color w:val="006600"/>
                <w:sz w:val="18"/>
                <w:szCs w:val="18"/>
                <w:lang w:val="ru-RU"/>
              </w:rPr>
              <w:t>(целый день)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bidi="he-IL"/>
              </w:rPr>
              <w:t>70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</w:tcPr>
          <w:p w:rsidR="0011421B" w:rsidRPr="0011421B" w:rsidRDefault="0011421B" w:rsidP="00DC05A6">
            <w:pPr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 xml:space="preserve">Экскурсия в </w:t>
            </w:r>
            <w:r w:rsidRPr="0011421B">
              <w:rPr>
                <w:rFonts w:ascii="Century Gothic" w:hAnsi="Century Gothic"/>
                <w:b/>
                <w:iCs/>
                <w:color w:val="006600"/>
                <w:sz w:val="18"/>
                <w:szCs w:val="18"/>
                <w:lang w:val="ru-RU"/>
              </w:rPr>
              <w:t>Сиену</w:t>
            </w:r>
            <w:r w:rsidRPr="0011421B"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  <w:t xml:space="preserve"> с русскоговорящим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40,00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pStyle w:val="2"/>
              <w:tabs>
                <w:tab w:val="left" w:pos="1840"/>
              </w:tabs>
              <w:snapToGrid w:val="0"/>
              <w:rPr>
                <w:rFonts w:ascii="Century Gothic" w:hAnsi="Century Gothic"/>
                <w:i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/>
                <w:color w:val="006600"/>
                <w:sz w:val="18"/>
                <w:szCs w:val="18"/>
                <w:lang w:val="ru-RU"/>
              </w:rPr>
              <w:t>Наушники на весь период пребывания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1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5</w:t>
            </w: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en-GB" w:bidi="he-IL"/>
              </w:rPr>
              <w:t>,00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pStyle w:val="2"/>
              <w:tabs>
                <w:tab w:val="left" w:pos="1840"/>
              </w:tabs>
              <w:snapToGrid w:val="0"/>
              <w:rPr>
                <w:rFonts w:ascii="Century Gothic" w:hAnsi="Century Gothic"/>
                <w:i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i/>
                <w:color w:val="006600"/>
                <w:sz w:val="18"/>
                <w:szCs w:val="18"/>
                <w:lang w:val="ru-RU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-</w:t>
            </w:r>
          </w:p>
        </w:tc>
      </w:tr>
      <w:tr w:rsidR="0011421B" w:rsidRPr="0011421B" w:rsidTr="00DC05A6">
        <w:trPr>
          <w:tblCellSpacing w:w="28" w:type="dxa"/>
          <w:jc w:val="center"/>
        </w:trPr>
        <w:tc>
          <w:tcPr>
            <w:tcW w:w="3745" w:type="dxa"/>
            <w:shd w:val="pct5" w:color="auto" w:fill="auto"/>
            <w:vAlign w:val="center"/>
          </w:tcPr>
          <w:p w:rsidR="0011421B" w:rsidRPr="0011421B" w:rsidRDefault="0011421B" w:rsidP="00DC05A6">
            <w:pPr>
              <w:autoSpaceDE w:val="0"/>
              <w:snapToGrid w:val="0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5813" w:type="dxa"/>
            <w:shd w:val="pct5" w:color="auto" w:fill="auto"/>
            <w:vAlign w:val="center"/>
          </w:tcPr>
          <w:p w:rsidR="0011421B" w:rsidRPr="0011421B" w:rsidRDefault="0011421B" w:rsidP="00DC05A6">
            <w:pPr>
              <w:rPr>
                <w:rFonts w:ascii="Century Gothic" w:hAnsi="Century Gothic"/>
                <w:iCs/>
                <w:color w:val="006600"/>
                <w:sz w:val="18"/>
                <w:szCs w:val="18"/>
                <w:lang w:val="ru-RU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11421B" w:rsidRPr="0011421B" w:rsidRDefault="0011421B" w:rsidP="00DC05A6">
            <w:pPr>
              <w:jc w:val="center"/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</w:pPr>
            <w:r w:rsidRPr="0011421B">
              <w:rPr>
                <w:rFonts w:ascii="Century Gothic" w:hAnsi="Century Gothic"/>
                <w:color w:val="006600"/>
                <w:sz w:val="18"/>
                <w:szCs w:val="18"/>
                <w:lang w:val="ru-RU" w:bidi="he-IL"/>
              </w:rPr>
              <w:t>-</w:t>
            </w:r>
          </w:p>
        </w:tc>
      </w:tr>
    </w:tbl>
    <w:p w:rsidR="0011421B" w:rsidRPr="0011421B" w:rsidRDefault="0011421B" w:rsidP="0011421B">
      <w:pPr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</w:p>
    <w:p w:rsidR="0011421B" w:rsidRPr="0011421B" w:rsidRDefault="0011421B" w:rsidP="0011421B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 w:rsidRPr="0011421B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ПО ТЕХНИЧЕСКИМ ПРИЧИНАМ МАРШРУТ И ПОРЯДОК ЭКСКУРСИЙ МОГУТ БЫТЬ ИЗМЕНЕНЫ</w:t>
      </w:r>
    </w:p>
    <w:p w:rsidR="0011421B" w:rsidRPr="0011421B" w:rsidRDefault="0011421B" w:rsidP="0011421B">
      <w:pPr>
        <w:jc w:val="center"/>
        <w:rPr>
          <w:rFonts w:ascii="Century Gothic" w:hAnsi="Century Gothic"/>
          <w:b/>
          <w:bCs/>
          <w:color w:val="FF0000"/>
          <w:sz w:val="18"/>
          <w:szCs w:val="18"/>
          <w:lang w:val="ru-RU"/>
        </w:rPr>
      </w:pPr>
      <w:r w:rsidRPr="0011421B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*</w:t>
      </w:r>
      <w:bookmarkStart w:id="1" w:name="OLE_LINK1"/>
      <w:bookmarkStart w:id="2" w:name="OLE_LINK2"/>
      <w:r w:rsidRPr="0011421B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 xml:space="preserve">В ПЕРИОД ВЫСТАВОК И КОНГРЕССОВ ДЛЯ ТУРИСТОВ, ОПЛАТИВШИХ РАЗМЕЩЕНИЕ В ЦЕНТРЕ ФЛОРЕНЦИИ, ВОЗМОЖНО РАЗМЕЩЕНИЕ В </w:t>
      </w:r>
      <w:bookmarkEnd w:id="1"/>
      <w:bookmarkEnd w:id="2"/>
      <w:r w:rsidRPr="0011421B"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t>ОТЕЛЯХ КАТЕГОРИИ 4* В МОНТЕКАТИНИ</w:t>
      </w:r>
    </w:p>
    <w:p w:rsidR="0011421B" w:rsidRPr="0011421B" w:rsidRDefault="0011421B" w:rsidP="0011421B">
      <w:pPr>
        <w:jc w:val="center"/>
        <w:rPr>
          <w:lang w:val="ru-RU"/>
        </w:rPr>
      </w:pPr>
    </w:p>
    <w:p w:rsidR="00BA4920" w:rsidRPr="0011421B" w:rsidRDefault="00BA4920">
      <w:pPr>
        <w:rPr>
          <w:lang w:val="ru-RU"/>
        </w:rPr>
      </w:pPr>
    </w:p>
    <w:sectPr w:rsidR="00BA4920" w:rsidRPr="0011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1B"/>
    <w:rsid w:val="0011421B"/>
    <w:rsid w:val="00B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2128-3721-47BB-A770-25D3F91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11421B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1B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paragraph" w:styleId="a3">
    <w:name w:val="Title"/>
    <w:basedOn w:val="a"/>
    <w:next w:val="a4"/>
    <w:link w:val="a5"/>
    <w:qFormat/>
    <w:rsid w:val="0011421B"/>
    <w:pPr>
      <w:jc w:val="center"/>
    </w:pPr>
    <w:rPr>
      <w:b/>
      <w:i/>
      <w:sz w:val="25"/>
      <w:lang w:eastAsia="he-IL" w:bidi="he-IL"/>
    </w:rPr>
  </w:style>
  <w:style w:type="character" w:customStyle="1" w:styleId="a5">
    <w:name w:val="Название Знак"/>
    <w:basedOn w:val="a0"/>
    <w:link w:val="a3"/>
    <w:rsid w:val="0011421B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table" w:styleId="a6">
    <w:name w:val="Table Grid"/>
    <w:basedOn w:val="a1"/>
    <w:rsid w:val="00114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7"/>
    <w:uiPriority w:val="11"/>
    <w:qFormat/>
    <w:rsid w:val="001142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11421B"/>
    <w:rPr>
      <w:rFonts w:eastAsiaTheme="minorEastAsia"/>
      <w:color w:val="5A5A5A" w:themeColor="text1" w:themeTint="A5"/>
      <w:spacing w:val="15"/>
      <w:lang w:val="it-IT" w:eastAsia="it-IT"/>
    </w:rPr>
  </w:style>
  <w:style w:type="character" w:customStyle="1" w:styleId="20">
    <w:name w:val="Заголовок 2 Знак"/>
    <w:basedOn w:val="a0"/>
    <w:link w:val="2"/>
    <w:uiPriority w:val="9"/>
    <w:semiHidden/>
    <w:rsid w:val="00114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it-IT"/>
    </w:rPr>
  </w:style>
  <w:style w:type="paragraph" w:styleId="a8">
    <w:name w:val="Body Text"/>
    <w:basedOn w:val="a"/>
    <w:link w:val="a9"/>
    <w:rsid w:val="0011421B"/>
    <w:pPr>
      <w:jc w:val="both"/>
    </w:pPr>
    <w:rPr>
      <w:rFonts w:ascii="Garamond" w:hAnsi="Garamond"/>
      <w:bCs/>
      <w:lang w:val="en-GB"/>
    </w:rPr>
  </w:style>
  <w:style w:type="character" w:customStyle="1" w:styleId="a9">
    <w:name w:val="Основной текст Знак"/>
    <w:basedOn w:val="a0"/>
    <w:link w:val="a8"/>
    <w:rsid w:val="0011421B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a">
    <w:name w:val="Normal (Web)"/>
    <w:basedOn w:val="a"/>
    <w:uiPriority w:val="99"/>
    <w:semiHidden/>
    <w:unhideWhenUsed/>
    <w:rsid w:val="0011421B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2014-05-31T12:57:00Z</dcterms:created>
  <dcterms:modified xsi:type="dcterms:W3CDTF">2014-05-31T13:05:00Z</dcterms:modified>
</cp:coreProperties>
</file>